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167A1" w:rsidR="00A77E70" w:rsidP="00E846CE" w:rsidRDefault="6312AE81" w14:paraId="2938745D" w14:textId="6C42DD34">
      <w:pPr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 w:rsidRPr="1316988B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 xml:space="preserve">Help Your </w:t>
      </w:r>
      <w:r w:rsidRPr="3BB59B2D" w:rsidR="00A77E70">
        <w:rPr>
          <w:rFonts w:eastAsia="Times New Roman" w:cs="Times New Roman"/>
          <w:color w:val="29B0B0"/>
          <w:sz w:val="54"/>
          <w:szCs w:val="54"/>
          <w:shd w:val="clear" w:color="auto" w:fill="FFFFFF"/>
        </w:rPr>
        <w:t> </w:t>
      </w:r>
      <w:r w:rsidRPr="00E846CE" w:rsidR="00993226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 w:rsidR="3969E7DB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Young Learner</w:t>
      </w:r>
      <w:r w:rsidRPr="00E167A1" w:rsidR="00A77E70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 </w:t>
      </w:r>
      <w:r w:rsidRPr="00E846CE" w:rsidR="00993226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 w:rsidR="42A745BB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ACE Their</w:t>
      </w:r>
      <w:r w:rsidRPr="00E167A1" w:rsidR="00A77E70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 </w:t>
      </w:r>
      <w:r w:rsidRPr="00E846CE" w:rsidR="00A77E70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 w:rsidR="47D13943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School Year</w:t>
      </w:r>
    </w:p>
    <w:p w:rsidRPr="00A77E70" w:rsidR="00265CF3" w:rsidP="00F409C7" w:rsidRDefault="00265CF3" w14:paraId="44A834DB" w14:textId="77777777">
      <w:pPr>
        <w:pStyle w:val="paragraph"/>
        <w:pBdr>
          <w:bottom w:val="single" w:color="auto" w:sz="4" w:space="1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P="00147682" w:rsidRDefault="00147682" w14:paraId="4F0AA6E0" w14:textId="7831DDE5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="00147682">
        <w:drawing>
          <wp:inline wp14:editId="6E585515" wp14:anchorId="2C1A8232">
            <wp:extent cx="1746962" cy="914400"/>
            <wp:effectExtent l="0" t="0" r="0" b="0"/>
            <wp:docPr id="9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4a618d3dc14d47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7682" w:rsidR="00A90788" w:rsidP="00147682" w:rsidRDefault="00A90788" w14:paraId="62BE657A" w14:textId="4444FAA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18"/>
          <w:szCs w:val="18"/>
        </w:rPr>
      </w:pP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partnership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: </w:t>
      </w:r>
    </w:p>
    <w:p w:rsidRPr="00A90788" w:rsidR="00A90788" w:rsidP="34262426" w:rsidRDefault="00A90788" w14:paraId="3D47D662" w14:textId="54F9252F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ATTEND 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– by </w:t>
      </w:r>
      <w:r w:rsidRPr="4A8EC57B" w:rsidR="002566D4">
        <w:rPr>
          <w:rStyle w:val="normaltextrun"/>
          <w:rFonts w:cs="Segoe UI" w:asciiTheme="minorHAnsi" w:hAnsiTheme="minorHAnsi"/>
          <w:color w:val="2D2D2D"/>
          <w:sz w:val="21"/>
          <w:szCs w:val="21"/>
        </w:rPr>
        <w:t>being present for r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emote or on-campus </w:t>
      </w:r>
      <w:r w:rsidRPr="4A8EC57B" w:rsidR="65F32056">
        <w:rPr>
          <w:rStyle w:val="normaltextrun"/>
          <w:rFonts w:cs="Segoe UI" w:asciiTheme="minorHAnsi" w:hAnsiTheme="minorHAnsi"/>
          <w:color w:val="2D2D2D"/>
          <w:sz w:val="21"/>
          <w:szCs w:val="21"/>
        </w:rPr>
        <w:t>learning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with a feeling of wellness, safety, and belonging  </w:t>
      </w:r>
    </w:p>
    <w:p w:rsidRPr="00A90788" w:rsidR="00A90788" w:rsidP="4A8EC57B" w:rsidRDefault="00A90788" w14:paraId="07F83802" w14:textId="649F5061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COMMIT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 – by showing dedication to learning with a feeling of connection to what is being taught   </w:t>
      </w:r>
    </w:p>
    <w:p w:rsidR="00AB55B7" w:rsidP="4A8EC57B" w:rsidRDefault="00A90788" w14:paraId="18EEF829" w14:textId="1DE56A3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ENGAGE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 – by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displaying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academic progress with a feeling of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confidence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and accomplishment    </w:t>
      </w:r>
    </w:p>
    <w:p w:rsidR="00566863" w:rsidP="00A90788" w:rsidRDefault="00566863" w14:paraId="2B6BE0E3" w14:textId="649F1C8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</w:p>
    <w:p w:rsidR="00993226" w:rsidRDefault="000736FF" w14:paraId="178589A2" w14:textId="4F2A337B" w14:noSpellErr="1">
      <w:r w:rsidR="1ABF0BF2">
        <w:drawing>
          <wp:inline wp14:editId="391E5472" wp14:anchorId="4BA63925">
            <wp:extent cx="1925550" cy="1925550"/>
            <wp:effectExtent l="0" t="0" r="0" b="0"/>
            <wp:docPr id="25284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d65100bcff42b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5550" cy="19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EBBDC9" w:rsidP="1AEBBDC9" w:rsidRDefault="1AEBBDC9" w14:paraId="0D6B250D" w14:textId="01881D83">
      <w:pPr>
        <w:pStyle w:val="paragraph"/>
        <w:spacing w:before="0" w:beforeAutospacing="0" w:after="0" w:afterAutospacing="0" w:line="276" w:lineRule="auto"/>
        <w:rPr>
          <w:rStyle w:val="normaltextrun"/>
          <w:rFonts w:cs="Segoe UI" w:asciiTheme="minorHAnsi" w:hAnsiTheme="minorHAnsi"/>
          <w:b/>
          <w:bCs/>
          <w:color w:val="29B0B0"/>
        </w:rPr>
      </w:pPr>
    </w:p>
    <w:p w:rsidR="1690AF97" w:rsidP="1690AF97" w:rsidRDefault="1690AF97" w14:paraId="2841D0EF" w14:textId="5B00F39E">
      <w:pPr>
        <w:pStyle w:val="paragraph"/>
        <w:spacing w:before="0" w:beforeAutospacing="0" w:after="0" w:afterAutospacing="0" w:line="276" w:lineRule="auto"/>
        <w:rPr>
          <w:rStyle w:val="normaltextrun"/>
          <w:rFonts w:cs="Segoe UI" w:asciiTheme="minorHAnsi" w:hAnsiTheme="minorHAnsi"/>
          <w:b/>
          <w:bCs/>
          <w:color w:val="29B0B0"/>
        </w:rPr>
      </w:pPr>
    </w:p>
    <w:p w:rsidR="00993226" w:rsidP="51FF09DD" w:rsidRDefault="490E1006" w14:paraId="5E8F526A" w14:textId="7962C7B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  <w:r w:rsidRPr="51FF09DD">
        <w:rPr>
          <w:rStyle w:val="normaltextrun"/>
          <w:rFonts w:cs="Segoe UI" w:asciiTheme="minorHAnsi" w:hAnsiTheme="minorHAnsi"/>
          <w:b/>
          <w:bCs/>
          <w:color w:val="29B0B0"/>
        </w:rPr>
        <w:t>D</w:t>
      </w:r>
      <w:r w:rsidRPr="51FF09DD" w:rsidR="0468C066">
        <w:rPr>
          <w:rStyle w:val="normaltextrun"/>
          <w:rFonts w:cs="Segoe UI" w:asciiTheme="minorHAnsi" w:hAnsiTheme="minorHAnsi"/>
          <w:b/>
          <w:bCs/>
          <w:color w:val="29B0B0"/>
        </w:rPr>
        <w:t>ID YOU KNOW</w:t>
      </w:r>
      <w:r w:rsidRPr="51FF09DD">
        <w:rPr>
          <w:rStyle w:val="normaltextrun"/>
          <w:rFonts w:cs="Segoe UI" w:asciiTheme="minorHAnsi" w:hAnsiTheme="minorHAnsi"/>
          <w:b/>
          <w:bCs/>
          <w:color w:val="29B0B0"/>
        </w:rPr>
        <w:t>?</w:t>
      </w:r>
      <w:r w:rsidRPr="51FF09DD" w:rsidR="6EB4F73F">
        <w:rPr>
          <w:rStyle w:val="normaltextrun"/>
          <w:rFonts w:cs="Segoe UI" w:asciiTheme="minorHAnsi" w:hAnsiTheme="minorHAnsi"/>
          <w:b/>
          <w:bCs/>
          <w:color w:val="29B0B0"/>
        </w:rPr>
        <w:t xml:space="preserve"> These are the KEY years</w:t>
      </w:r>
    </w:p>
    <w:p w:rsidRPr="002F761F" w:rsidR="00C64BCC" w:rsidP="00A73322" w:rsidRDefault="00C64BCC" w14:paraId="6533D05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cs="Segoe UI" w:asciiTheme="minorHAnsi" w:hAnsiTheme="minorHAnsi"/>
          <w:color w:val="29B0B0"/>
          <w:sz w:val="10"/>
          <w:szCs w:val="10"/>
        </w:rPr>
      </w:pPr>
    </w:p>
    <w:p w:rsidRPr="0058627C" w:rsidR="002C52EB" w:rsidP="35D415AB" w:rsidRDefault="490E1006" w14:paraId="3F8A1F45" w14:textId="4225EA19">
      <w:pPr>
        <w:rPr>
          <w:rFonts w:eastAsiaTheme="minorEastAsia"/>
          <w:color w:val="000000"/>
          <w:sz w:val="22"/>
          <w:szCs w:val="22"/>
          <w:shd w:val="clear" w:color="auto" w:fill="FFFFFF"/>
        </w:rPr>
      </w:pP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Pre-K and kindergarten help lay the</w:t>
      </w:r>
      <w:r w:rsidRPr="35D415AB" w:rsidR="62D80545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</w:t>
      </w: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foundation for many important skills that help children thrive in later grades and life. Attending </w:t>
      </w:r>
      <w:r w:rsidRPr="35D415AB" w:rsidR="51100E1D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school </w:t>
      </w: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consistently helps children have the best start possible. For our youngest learners, regular attendance is even</w:t>
      </w:r>
      <w:r w:rsidRPr="35D415AB" w:rsidR="0E5BCDF7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</w:t>
      </w: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MORE important than for older students. Many </w:t>
      </w:r>
      <w:r w:rsidRPr="35D415AB" w:rsidR="1052BF75">
        <w:rPr>
          <w:rFonts w:eastAsiaTheme="minorEastAsia"/>
          <w:color w:val="000000"/>
          <w:sz w:val="22"/>
          <w:szCs w:val="22"/>
          <w:shd w:val="clear" w:color="auto" w:fill="FFFFFF"/>
        </w:rPr>
        <w:t>parents</w:t>
      </w: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find that s</w:t>
      </w:r>
      <w:r w:rsidRPr="35D415AB" w:rsidR="2A99B678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urprising, but data shows that students who regularly attend school in these early years have: </w:t>
      </w:r>
      <w:r w:rsidR="00DC4ED7">
        <w:br/>
      </w:r>
    </w:p>
    <w:p w:rsidRPr="0058627C" w:rsidR="002C52EB" w:rsidP="51FF09DD" w:rsidRDefault="17DEC484" w14:paraId="3608A40F" w14:textId="405DF2F7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35D415AB">
        <w:rPr>
          <w:rFonts w:eastAsiaTheme="minorEastAsia"/>
          <w:color w:val="000000" w:themeColor="text1"/>
          <w:sz w:val="22"/>
          <w:szCs w:val="22"/>
        </w:rPr>
        <w:t>Better early reading and math kills</w:t>
      </w:r>
      <w:r w:rsidRPr="35D415AB" w:rsidR="0F1A26FB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35D415AB" w:rsidR="0F1A26FB">
        <w:rPr>
          <w:rFonts w:eastAsiaTheme="minorEastAsia"/>
          <w:color w:val="000000" w:themeColor="text1"/>
          <w:sz w:val="22"/>
          <w:szCs w:val="22"/>
          <w:vertAlign w:val="superscript"/>
        </w:rPr>
        <w:t>1</w:t>
      </w:r>
    </w:p>
    <w:p w:rsidRPr="0058627C" w:rsidR="00DC4ED7" w:rsidP="35D415AB" w:rsidRDefault="17DEC484" w14:paraId="306658D6" w14:textId="172EE9E4">
      <w:pPr>
        <w:pStyle w:val="ListParagraph"/>
        <w:numPr>
          <w:ilvl w:val="0"/>
          <w:numId w:val="5"/>
        </w:numPr>
        <w:ind w:right="-90"/>
        <w:rPr>
          <w:rFonts w:eastAsiaTheme="minorEastAsia"/>
          <w:sz w:val="22"/>
          <w:szCs w:val="22"/>
        </w:rPr>
      </w:pP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Lower rates of enrollment in special education</w:t>
      </w:r>
      <w:r w:rsidRPr="35D415AB" w:rsidR="00DC4ED7">
        <w:rPr>
          <w:rFonts w:eastAsiaTheme="minorEastAsia"/>
          <w:color w:val="000000"/>
          <w:sz w:val="22"/>
          <w:szCs w:val="22"/>
          <w:shd w:val="clear" w:color="auto" w:fill="FFFFFF"/>
        </w:rPr>
        <w:t> </w:t>
      </w:r>
    </w:p>
    <w:p w:rsidRPr="0058627C" w:rsidR="00DC4ED7" w:rsidP="35D415AB" w:rsidRDefault="05B3659C" w14:paraId="790B3940" w14:textId="4E6A9371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Lesser chance of being held back</w:t>
      </w:r>
      <w:r w:rsidRPr="35D415AB" w:rsidR="1A4C34FF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</w:t>
      </w:r>
    </w:p>
    <w:p w:rsidRPr="0058627C" w:rsidR="00DC4ED7" w:rsidP="35D415AB" w:rsidRDefault="05B3659C" w14:paraId="51886F28" w14:textId="08DCF2DB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Lower rates of juvenile delinquency</w:t>
      </w:r>
    </w:p>
    <w:p w:rsidRPr="0058627C" w:rsidR="00DC4ED7" w:rsidP="35D415AB" w:rsidRDefault="05B3659C" w14:paraId="3A982E19" w14:textId="474DA569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Higher rates of high school graduation</w:t>
      </w:r>
    </w:p>
    <w:p w:rsidRPr="0058627C" w:rsidR="00DC4ED7" w:rsidP="35D415AB" w:rsidRDefault="05B3659C" w14:paraId="04733A93" w14:textId="33015B06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Greater job earnings</w:t>
      </w:r>
    </w:p>
    <w:p w:rsidRPr="0058627C" w:rsidR="00DC4ED7" w:rsidP="35D415AB" w:rsidRDefault="05B3659C" w14:paraId="432D19CC" w14:textId="4721CC44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35D415AB">
        <w:rPr>
          <w:rFonts w:eastAsiaTheme="minorEastAsia"/>
          <w:color w:val="000000"/>
          <w:sz w:val="22"/>
          <w:szCs w:val="22"/>
          <w:shd w:val="clear" w:color="auto" w:fill="FFFFFF"/>
        </w:rPr>
        <w:t>More stable employment</w:t>
      </w:r>
    </w:p>
    <w:p w:rsidRPr="0058627C" w:rsidR="00DC4ED7" w:rsidP="51FF09DD" w:rsidRDefault="00DC4ED7" w14:paraId="7F39D56B" w14:textId="0A2CB16D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Pr="0058627C" w:rsidR="00DC4ED7" w:rsidP="394475FE" w:rsidRDefault="4B42819F" w14:paraId="1F740F29" w14:textId="073DE6B5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B7E5B" wp14:editId="00AFA76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6036" cy="576036"/>
            <wp:effectExtent l="0" t="0" r="0" b="0"/>
            <wp:wrapSquare wrapText="bothSides"/>
            <wp:docPr id="384183980" name="Picture 38418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36" cy="57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ca62d676651646c4">
        <w:r w:rsidRPr="37470C04" w:rsidR="4B42819F">
          <w:rPr>
            <w:rStyle w:val="Hyperlink"/>
            <w:rFonts w:eastAsia="Times New Roman" w:cs="Times New Roman"/>
            <w:sz w:val="22"/>
            <w:szCs w:val="22"/>
          </w:rPr>
          <w:t>Watch this helpful video</w:t>
        </w:r>
      </w:hyperlink>
      <w:r w:rsidRPr="37470C04" w:rsidR="4B42819F">
        <w:rPr>
          <w:rFonts w:eastAsia="Times New Roman" w:cs="Times New Roman"/>
          <w:color w:val="000000" w:themeColor="text1"/>
          <w:sz w:val="22"/>
          <w:szCs w:val="22"/>
        </w:rPr>
        <w:t xml:space="preserve"> that explains why attending school every day makes for a stronger young learner.</w:t>
      </w:r>
      <w:r w:rsidRPr="37470C04" w:rsidR="253CFCFC">
        <w:rPr>
          <w:rFonts w:eastAsia="Times New Roman" w:cs="Times New Roman"/>
          <w:color w:val="000000" w:themeColor="text1"/>
          <w:sz w:val="22"/>
          <w:szCs w:val="22"/>
        </w:rPr>
        <w:t xml:space="preserve"> You can also click on the QR code.</w:t>
      </w:r>
    </w:p>
    <w:p w:rsidR="51FF09DD" w:rsidP="51FF09DD" w:rsidRDefault="51FF09DD" w14:paraId="41A557EB" w14:textId="58B9A1F4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993226" w:rsidP="4A8EC57B" w:rsidRDefault="2D474F60" w14:paraId="7FFB2E32" w14:textId="58A46700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 w:rsidRPr="24A33E85">
        <w:rPr>
          <w:rStyle w:val="normaltextrun"/>
          <w:rFonts w:cs="Segoe UI"/>
          <w:b/>
          <w:bCs/>
          <w:color w:val="29B0B0"/>
        </w:rPr>
        <w:t>W</w:t>
      </w:r>
      <w:r w:rsidRPr="24A33E85" w:rsidR="44D810C6">
        <w:rPr>
          <w:rStyle w:val="normaltextrun"/>
          <w:rFonts w:cs="Segoe UI"/>
          <w:b/>
          <w:bCs/>
          <w:color w:val="29B0B0"/>
        </w:rPr>
        <w:t>HAT CAN YOU DO</w:t>
      </w:r>
      <w:r w:rsidRPr="24A33E85">
        <w:rPr>
          <w:rStyle w:val="normaltextrun"/>
          <w:rFonts w:cs="Segoe UI"/>
          <w:b/>
          <w:bCs/>
          <w:color w:val="29B0B0"/>
        </w:rPr>
        <w:t>? Set your child up for success</w:t>
      </w:r>
    </w:p>
    <w:p w:rsidRPr="00BE4A85" w:rsidR="00993226" w:rsidP="482C6C1F" w:rsidRDefault="0EE8069A" w14:paraId="5CC0D610" w14:textId="6D98EFB8">
      <w:p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Before the school year begins:</w:t>
      </w:r>
    </w:p>
    <w:p w:rsidRPr="00BE4A85" w:rsidR="00993226" w:rsidP="482C6C1F" w:rsidRDefault="0EE8069A" w14:paraId="5833EA8F" w14:textId="284A9FF8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Find out when the first day of school starts</w:t>
      </w:r>
    </w:p>
    <w:p w:rsidRPr="00BE4A85" w:rsidR="00993226" w:rsidP="482C6C1F" w:rsidRDefault="0EE8069A" w14:paraId="5186827B" w14:textId="643AC662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Get your student excited about their new adventure</w:t>
      </w:r>
    </w:p>
    <w:p w:rsidRPr="00BE4A85" w:rsidR="00993226" w:rsidP="482C6C1F" w:rsidRDefault="0EE8069A" w14:paraId="31389FEF" w14:textId="1CA787F4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Make sure your child has the required vaccinations</w:t>
      </w:r>
    </w:p>
    <w:p w:rsidRPr="00BE4A85" w:rsidR="00993226" w:rsidP="482C6C1F" w:rsidRDefault="0EE8069A" w14:paraId="5ABFEB33" w14:textId="3EACEBB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Attend school orientation with your child to meet teachers and classmates</w:t>
      </w:r>
    </w:p>
    <w:p w:rsidRPr="00BE4A85" w:rsidR="00993226" w:rsidP="51FF09DD" w:rsidRDefault="0EE8069A" w14:paraId="697A791C" w14:textId="236E5C0C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Decide on your back-up plan for getting your child to school before issues arise</w:t>
      </w:r>
    </w:p>
    <w:p w:rsidRPr="00BE4A85" w:rsidR="00993226" w:rsidP="482C6C1F" w:rsidRDefault="0EE8069A" w14:paraId="2F554AAB" w14:textId="7E9956DB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24A33E85">
        <w:rPr>
          <w:rFonts w:eastAsiaTheme="minorEastAsia"/>
          <w:color w:val="000000" w:themeColor="text1"/>
          <w:sz w:val="22"/>
          <w:szCs w:val="22"/>
        </w:rPr>
        <w:t>Ask family members, neighbors, or other parents to lend a hand</w:t>
      </w:r>
    </w:p>
    <w:p w:rsidR="76DAE14E" w:rsidP="24A33E85" w:rsidRDefault="76DAE14E" w14:paraId="3C4A8944" w14:textId="602C0B6E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sz w:val="22"/>
          <w:szCs w:val="22"/>
        </w:rPr>
      </w:pPr>
      <w:r w:rsidRPr="57DD88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Visit </w:t>
      </w:r>
      <w:hyperlink r:id="rId15">
        <w:r w:rsidRPr="57DD8884">
          <w:rPr>
            <w:rStyle w:val="Hyperlink"/>
            <w:rFonts w:ascii="Calibri" w:hAnsi="Calibri" w:eastAsia="Calibri" w:cs="Calibri"/>
            <w:sz w:val="22"/>
            <w:szCs w:val="22"/>
          </w:rPr>
          <w:t>ace.e3alliance.org/family</w:t>
        </w:r>
      </w:hyperlink>
      <w:r w:rsidRPr="57DD88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for more resources</w:t>
      </w:r>
    </w:p>
    <w:p w:rsidRPr="0058627C" w:rsidR="00DC4ED7" w:rsidP="482C6C1F" w:rsidRDefault="00DC4ED7" w14:paraId="47231C43" w14:textId="6AFFA379">
      <w:pPr>
        <w:spacing w:line="259" w:lineRule="auto"/>
        <w:rPr>
          <w:rFonts w:eastAsiaTheme="minorEastAsia"/>
          <w:color w:val="000000" w:themeColor="text1"/>
          <w:sz w:val="22"/>
          <w:szCs w:val="22"/>
        </w:rPr>
      </w:pPr>
    </w:p>
    <w:p w:rsidRPr="0058627C" w:rsidR="00DC4ED7" w:rsidP="482C6C1F" w:rsidRDefault="0EE8069A" w14:paraId="17CF5795" w14:textId="5B1F3321">
      <w:p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During the school year:</w:t>
      </w:r>
    </w:p>
    <w:p w:rsidRPr="0058627C" w:rsidR="00DC4ED7" w:rsidP="51FF09DD" w:rsidRDefault="0EE8069A" w14:paraId="01F5B04C" w14:textId="0E4970E0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 xml:space="preserve">Set a </w:t>
      </w:r>
      <w:bookmarkStart w:name="_GoBack" w:id="0"/>
      <w:r w:rsidRPr="482C6C1F">
        <w:rPr>
          <w:rFonts w:eastAsiaTheme="minorEastAsia"/>
          <w:color w:val="000000" w:themeColor="text1"/>
          <w:sz w:val="22"/>
          <w:szCs w:val="22"/>
        </w:rPr>
        <w:t xml:space="preserve">regular </w:t>
      </w:r>
      <w:bookmarkEnd w:id="0"/>
      <w:r w:rsidRPr="482C6C1F">
        <w:rPr>
          <w:rFonts w:eastAsiaTheme="minorEastAsia"/>
          <w:color w:val="000000" w:themeColor="text1"/>
          <w:sz w:val="22"/>
          <w:szCs w:val="22"/>
        </w:rPr>
        <w:t>bedtime and morning routine</w:t>
      </w:r>
    </w:p>
    <w:p w:rsidRPr="0058627C" w:rsidR="00DC4ED7" w:rsidP="51FF09DD" w:rsidRDefault="0EE8069A" w14:paraId="01D94E4F" w14:textId="06E3FE3F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Layout clothes and backpacks the night before</w:t>
      </w:r>
    </w:p>
    <w:p w:rsidRPr="0058627C" w:rsidR="00DC4ED7" w:rsidP="482C6C1F" w:rsidRDefault="6F762572" w14:paraId="0DFE76C4" w14:textId="1561E23B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Understand</w:t>
      </w:r>
      <w:r w:rsidRPr="482C6C1F" w:rsidR="0EE8069A">
        <w:rPr>
          <w:rFonts w:eastAsiaTheme="minorEastAsia"/>
          <w:color w:val="000000" w:themeColor="text1"/>
          <w:sz w:val="22"/>
          <w:szCs w:val="22"/>
        </w:rPr>
        <w:t xml:space="preserve"> when to keep </w:t>
      </w:r>
      <w:r w:rsidRPr="482C6C1F" w:rsidR="6748F0A5">
        <w:rPr>
          <w:rFonts w:eastAsiaTheme="minorEastAsia"/>
          <w:color w:val="000000" w:themeColor="text1"/>
          <w:sz w:val="22"/>
          <w:szCs w:val="22"/>
        </w:rPr>
        <w:t xml:space="preserve">your </w:t>
      </w:r>
      <w:r w:rsidRPr="482C6C1F" w:rsidR="0EE8069A">
        <w:rPr>
          <w:rFonts w:eastAsiaTheme="minorEastAsia"/>
          <w:color w:val="000000" w:themeColor="text1"/>
          <w:sz w:val="22"/>
          <w:szCs w:val="22"/>
        </w:rPr>
        <w:t xml:space="preserve">child home </w:t>
      </w:r>
      <w:r w:rsidRPr="482C6C1F" w:rsidR="5E676A02">
        <w:rPr>
          <w:rFonts w:eastAsiaTheme="minorEastAsia"/>
          <w:color w:val="000000" w:themeColor="text1"/>
          <w:sz w:val="22"/>
          <w:szCs w:val="22"/>
        </w:rPr>
        <w:t xml:space="preserve">due to illness </w:t>
      </w:r>
      <w:r w:rsidRPr="482C6C1F" w:rsidR="0EE8069A">
        <w:rPr>
          <w:rFonts w:eastAsiaTheme="minorEastAsia"/>
          <w:color w:val="000000" w:themeColor="text1"/>
          <w:sz w:val="22"/>
          <w:szCs w:val="22"/>
        </w:rPr>
        <w:t xml:space="preserve">and when </w:t>
      </w:r>
      <w:r w:rsidRPr="482C6C1F" w:rsidR="7AE7D555">
        <w:rPr>
          <w:rFonts w:eastAsiaTheme="minorEastAsia"/>
          <w:color w:val="000000" w:themeColor="text1"/>
          <w:sz w:val="22"/>
          <w:szCs w:val="22"/>
        </w:rPr>
        <w:t>to</w:t>
      </w:r>
      <w:r w:rsidRPr="482C6C1F" w:rsidR="0EE8069A">
        <w:rPr>
          <w:rFonts w:eastAsiaTheme="minorEastAsia"/>
          <w:color w:val="000000" w:themeColor="text1"/>
          <w:sz w:val="22"/>
          <w:szCs w:val="22"/>
        </w:rPr>
        <w:t xml:space="preserve"> return to school</w:t>
      </w:r>
    </w:p>
    <w:p w:rsidRPr="0058627C" w:rsidR="00DC4ED7" w:rsidP="482C6C1F" w:rsidRDefault="0C9204AC" w14:paraId="57AA5B33" w14:textId="04A408C1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>Know</w:t>
      </w:r>
      <w:r w:rsidRPr="482C6C1F" w:rsidR="0EE8069A">
        <w:rPr>
          <w:rFonts w:eastAsiaTheme="minorEastAsia"/>
          <w:color w:val="000000" w:themeColor="text1"/>
          <w:sz w:val="22"/>
          <w:szCs w:val="22"/>
        </w:rPr>
        <w:t xml:space="preserve"> the ways </w:t>
      </w:r>
      <w:r w:rsidRPr="482C6C1F" w:rsidR="492DD98C">
        <w:rPr>
          <w:rFonts w:eastAsiaTheme="minorEastAsia"/>
          <w:color w:val="000000" w:themeColor="text1"/>
          <w:sz w:val="22"/>
          <w:szCs w:val="22"/>
        </w:rPr>
        <w:t xml:space="preserve">your </w:t>
      </w:r>
      <w:r w:rsidRPr="482C6C1F" w:rsidR="0EE8069A">
        <w:rPr>
          <w:rFonts w:eastAsiaTheme="minorEastAsia"/>
          <w:color w:val="000000" w:themeColor="text1"/>
          <w:sz w:val="22"/>
          <w:szCs w:val="22"/>
        </w:rPr>
        <w:t>school can help with attendance</w:t>
      </w:r>
    </w:p>
    <w:p w:rsidRPr="0058627C" w:rsidR="00DC4ED7" w:rsidP="482C6C1F" w:rsidRDefault="0EE8069A" w14:paraId="33BBB9AC" w14:textId="51468D4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482C6C1F">
        <w:rPr>
          <w:rFonts w:eastAsiaTheme="minorEastAsia"/>
          <w:color w:val="000000" w:themeColor="text1"/>
          <w:sz w:val="22"/>
          <w:szCs w:val="22"/>
        </w:rPr>
        <w:t xml:space="preserve">Ask other parents </w:t>
      </w:r>
      <w:r w:rsidRPr="482C6C1F" w:rsidR="31C2E3AD">
        <w:rPr>
          <w:rFonts w:eastAsiaTheme="minorEastAsia"/>
          <w:color w:val="000000" w:themeColor="text1"/>
          <w:sz w:val="22"/>
          <w:szCs w:val="22"/>
        </w:rPr>
        <w:t>how they</w:t>
      </w:r>
      <w:r w:rsidRPr="482C6C1F">
        <w:rPr>
          <w:rFonts w:eastAsiaTheme="minorEastAsia"/>
          <w:color w:val="000000" w:themeColor="text1"/>
          <w:sz w:val="22"/>
          <w:szCs w:val="22"/>
        </w:rPr>
        <w:t xml:space="preserve"> get out the door on time</w:t>
      </w:r>
    </w:p>
    <w:p w:rsidRPr="0058627C" w:rsidR="00DC4ED7" w:rsidP="65493542" w:rsidRDefault="0EE8069A" w14:paraId="1ABB80F8" w14:textId="6856F738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24A33E85">
        <w:rPr>
          <w:rFonts w:eastAsiaTheme="minorEastAsia"/>
          <w:color w:val="000000" w:themeColor="text1"/>
          <w:sz w:val="22"/>
          <w:szCs w:val="22"/>
        </w:rPr>
        <w:t>Schedule doctor visit and vacations outside of designated school hours</w:t>
      </w:r>
      <w:r w:rsidR="002C52EB">
        <w:br/>
      </w:r>
    </w:p>
    <w:p w:rsidRPr="0058627C" w:rsidR="00993226" w:rsidP="482C6C1F" w:rsidRDefault="09358E6E" w14:paraId="454E0E81" w14:textId="6AEC9603">
      <w:pPr>
        <w:rPr>
          <w:rFonts w:eastAsiaTheme="minorEastAsia"/>
          <w:color w:val="000000" w:themeColor="text1"/>
          <w:sz w:val="18"/>
          <w:szCs w:val="18"/>
        </w:rPr>
      </w:pPr>
      <w:r w:rsidRPr="482C6C1F">
        <w:rPr>
          <w:rFonts w:eastAsiaTheme="minorEastAsia"/>
          <w:color w:val="000000"/>
          <w:sz w:val="18"/>
          <w:szCs w:val="18"/>
          <w:shd w:val="clear" w:color="auto" w:fill="FFFFFF"/>
          <w:vertAlign w:val="superscript"/>
        </w:rPr>
        <w:t xml:space="preserve">1 </w:t>
      </w:r>
      <w:r w:rsidRPr="482C6C1F" w:rsidR="438B8853">
        <w:rPr>
          <w:rFonts w:eastAsiaTheme="minorEastAsia"/>
          <w:color w:val="000000" w:themeColor="text1"/>
          <w:sz w:val="18"/>
          <w:szCs w:val="18"/>
        </w:rPr>
        <w:t>“Preschool-Chart.” Attendance Works, www.attendanceworks.org/resources/toolkits/early-education-toolkit/preschool-chart/</w:t>
      </w:r>
      <w:r w:rsidRPr="482C6C1F" w:rsidR="47F5F070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</w:p>
    <w:sectPr w:rsidRPr="0058627C" w:rsidR="00993226" w:rsidSect="0058627C">
      <w:footerReference w:type="default" r:id="rId16"/>
      <w:pgSz w:w="12240" w:h="15840" w:orient="portrait"/>
      <w:pgMar w:top="1089" w:right="980" w:bottom="1098" w:left="1440" w:header="720" w:footer="720" w:gutter="0"/>
      <w:cols w:equalWidth="0" w:space="720" w:num="2" w:sep="1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47" w:rsidP="00A77E70" w:rsidRDefault="003A2347" w14:paraId="19C2857E" w14:textId="77777777">
      <w:r>
        <w:separator/>
      </w:r>
    </w:p>
  </w:endnote>
  <w:endnote w:type="continuationSeparator" w:id="0">
    <w:p w:rsidR="003A2347" w:rsidP="00A77E70" w:rsidRDefault="003A2347" w14:paraId="3A75D5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47682" w:rsidR="00A77E70" w:rsidP="00993226" w:rsidRDefault="00834E6B" w14:paraId="11A7DB7B" w14:textId="179DC809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E6B" w:rsidR="6E585515">
      <w:rPr>
        <w:color w:val="767171" w:themeColor="background2" w:themeShade="80"/>
        <w:sz w:val="20"/>
        <w:szCs w:val="20"/>
      </w:rPr>
      <w:t>#</w:t>
    </w:r>
    <w:proofErr w:type="spellStart"/>
    <w:r w:rsidR="6E585515">
      <w:rPr>
        <w:color w:val="767171" w:themeColor="background2" w:themeShade="80"/>
        <w:sz w:val="20"/>
        <w:szCs w:val="20"/>
      </w:rPr>
      <w:t>A</w:t>
    </w:r>
    <w:r w:rsidRPr="00834E6B" w:rsidR="6E585515">
      <w:rPr>
        <w:color w:val="767171" w:themeColor="background2" w:themeShade="80"/>
        <w:sz w:val="20"/>
        <w:szCs w:val="20"/>
      </w:rPr>
      <w:t>ttendance</w:t>
    </w:r>
    <w:r w:rsidR="6E585515">
      <w:rPr>
        <w:color w:val="767171" w:themeColor="background2" w:themeShade="80"/>
        <w:sz w:val="20"/>
        <w:szCs w:val="20"/>
      </w:rPr>
      <w:t>M</w:t>
    </w:r>
    <w:r w:rsidRPr="00834E6B" w:rsidR="6E585515">
      <w:rPr>
        <w:color w:val="767171" w:themeColor="background2" w:themeShade="80"/>
        <w:sz w:val="20"/>
        <w:szCs w:val="20"/>
      </w:rPr>
      <w:t>atters</w:t>
    </w:r>
    <w:proofErr w:type="spellEnd"/>
    <w:r w:rsidRPr="00834E6B" w:rsidR="6E585515">
      <w:rPr>
        <w:color w:val="767171" w:themeColor="background2" w:themeShade="80"/>
        <w:sz w:val="20"/>
        <w:szCs w:val="20"/>
      </w:rPr>
      <w:t> #</w:t>
    </w:r>
    <w:proofErr w:type="spellStart"/>
    <w:r w:rsidR="6E585515">
      <w:rPr>
        <w:color w:val="767171" w:themeColor="background2" w:themeShade="80"/>
        <w:sz w:val="20"/>
        <w:szCs w:val="20"/>
      </w:rPr>
      <w:t>ACE</w:t>
    </w:r>
    <w:r w:rsidRPr="00834E6B" w:rsidR="6E585515">
      <w:rPr>
        <w:color w:val="767171" w:themeColor="background2" w:themeShade="80"/>
        <w:sz w:val="20"/>
        <w:szCs w:val="20"/>
      </w:rPr>
      <w:t>it</w:t>
    </w:r>
    <w:proofErr w:type="spellEnd"/>
    <w:r w:rsidRPr="00834E6B" w:rsidR="6E585515">
      <w:rPr>
        <w:color w:val="767171" w:themeColor="background2" w:themeShade="80"/>
        <w:sz w:val="20"/>
        <w:szCs w:val="20"/>
      </w:rPr>
      <w:t> </w:t>
    </w:r>
  </w:p>
  <w:p w:rsidR="00332F21" w:rsidP="00993226" w:rsidRDefault="00332F21" w14:paraId="7D49F1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47" w:rsidP="00A77E70" w:rsidRDefault="003A2347" w14:paraId="01F5AF43" w14:textId="77777777">
      <w:r>
        <w:separator/>
      </w:r>
    </w:p>
  </w:footnote>
  <w:footnote w:type="continuationSeparator" w:id="0">
    <w:p w:rsidR="003A2347" w:rsidP="00A77E70" w:rsidRDefault="003A2347" w14:paraId="51A9FBA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736FF"/>
    <w:rsid w:val="00147682"/>
    <w:rsid w:val="001637BD"/>
    <w:rsid w:val="001C0D3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3A2347"/>
    <w:rsid w:val="004648C0"/>
    <w:rsid w:val="00475851"/>
    <w:rsid w:val="00511E61"/>
    <w:rsid w:val="00566863"/>
    <w:rsid w:val="0058627C"/>
    <w:rsid w:val="006975E7"/>
    <w:rsid w:val="007953C4"/>
    <w:rsid w:val="00834E6B"/>
    <w:rsid w:val="00976FF1"/>
    <w:rsid w:val="00993226"/>
    <w:rsid w:val="009D413B"/>
    <w:rsid w:val="00A73322"/>
    <w:rsid w:val="00A77E70"/>
    <w:rsid w:val="00A90788"/>
    <w:rsid w:val="00A9494A"/>
    <w:rsid w:val="00AB55B7"/>
    <w:rsid w:val="00BE4A85"/>
    <w:rsid w:val="00BE6870"/>
    <w:rsid w:val="00C30B10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139BE60"/>
    <w:rsid w:val="02DEF2BE"/>
    <w:rsid w:val="035CB57E"/>
    <w:rsid w:val="03F2AFA5"/>
    <w:rsid w:val="0468C066"/>
    <w:rsid w:val="04C55D5C"/>
    <w:rsid w:val="0508053C"/>
    <w:rsid w:val="056FD345"/>
    <w:rsid w:val="05B3659C"/>
    <w:rsid w:val="05E0A7B6"/>
    <w:rsid w:val="05F0B75A"/>
    <w:rsid w:val="0634303E"/>
    <w:rsid w:val="06E5DBBE"/>
    <w:rsid w:val="07731043"/>
    <w:rsid w:val="07C9699F"/>
    <w:rsid w:val="08892B1B"/>
    <w:rsid w:val="09358E6E"/>
    <w:rsid w:val="096BC6C5"/>
    <w:rsid w:val="0B8F315F"/>
    <w:rsid w:val="0BAE7FDF"/>
    <w:rsid w:val="0C5FF8DE"/>
    <w:rsid w:val="0C9204AC"/>
    <w:rsid w:val="0CD73339"/>
    <w:rsid w:val="0E300003"/>
    <w:rsid w:val="0E5BCDF7"/>
    <w:rsid w:val="0EE8069A"/>
    <w:rsid w:val="0F1A26FB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BF0BF2"/>
    <w:rsid w:val="1AEBBDC9"/>
    <w:rsid w:val="1B9CBADD"/>
    <w:rsid w:val="1CEB8533"/>
    <w:rsid w:val="1E006317"/>
    <w:rsid w:val="2294EB1F"/>
    <w:rsid w:val="237889C4"/>
    <w:rsid w:val="23EE82CC"/>
    <w:rsid w:val="23F1AE50"/>
    <w:rsid w:val="2415C1E4"/>
    <w:rsid w:val="247D8921"/>
    <w:rsid w:val="24A33E85"/>
    <w:rsid w:val="253CFCFC"/>
    <w:rsid w:val="25889971"/>
    <w:rsid w:val="263D0C1B"/>
    <w:rsid w:val="271AB171"/>
    <w:rsid w:val="2743DBDA"/>
    <w:rsid w:val="27B7CE31"/>
    <w:rsid w:val="27BDFD03"/>
    <w:rsid w:val="27D3BC93"/>
    <w:rsid w:val="281EC0AC"/>
    <w:rsid w:val="29D0E70E"/>
    <w:rsid w:val="2A99B678"/>
    <w:rsid w:val="2AC224DE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F8F65E"/>
    <w:rsid w:val="35D415AB"/>
    <w:rsid w:val="3667A510"/>
    <w:rsid w:val="367F71C8"/>
    <w:rsid w:val="37470C04"/>
    <w:rsid w:val="394475FE"/>
    <w:rsid w:val="3969E7DB"/>
    <w:rsid w:val="3B2E9F17"/>
    <w:rsid w:val="3B6A65A3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402A46D7"/>
    <w:rsid w:val="40A364BD"/>
    <w:rsid w:val="40D6C96F"/>
    <w:rsid w:val="41391C8D"/>
    <w:rsid w:val="41A8F575"/>
    <w:rsid w:val="41DAA094"/>
    <w:rsid w:val="42A745BB"/>
    <w:rsid w:val="438B8853"/>
    <w:rsid w:val="44D810C6"/>
    <w:rsid w:val="455D5E68"/>
    <w:rsid w:val="45696191"/>
    <w:rsid w:val="457B5404"/>
    <w:rsid w:val="45D7C150"/>
    <w:rsid w:val="461AE676"/>
    <w:rsid w:val="47D13943"/>
    <w:rsid w:val="47F5F070"/>
    <w:rsid w:val="4828445C"/>
    <w:rsid w:val="482C6C1F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B5A0C36"/>
    <w:rsid w:val="4EEE70AA"/>
    <w:rsid w:val="503B759D"/>
    <w:rsid w:val="51100E1D"/>
    <w:rsid w:val="51DAB5D4"/>
    <w:rsid w:val="51FF09DD"/>
    <w:rsid w:val="545EAB52"/>
    <w:rsid w:val="54E4EC3C"/>
    <w:rsid w:val="56174826"/>
    <w:rsid w:val="56B26332"/>
    <w:rsid w:val="57DD8884"/>
    <w:rsid w:val="59F39DC0"/>
    <w:rsid w:val="5ABA214E"/>
    <w:rsid w:val="5B5C4773"/>
    <w:rsid w:val="5B648A3E"/>
    <w:rsid w:val="5B78936F"/>
    <w:rsid w:val="5BCC57D3"/>
    <w:rsid w:val="5C26DAD0"/>
    <w:rsid w:val="5C6F8EFD"/>
    <w:rsid w:val="5D30BE0A"/>
    <w:rsid w:val="5E676A02"/>
    <w:rsid w:val="62D80545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585515"/>
    <w:rsid w:val="6E778F18"/>
    <w:rsid w:val="6EB4F73F"/>
    <w:rsid w:val="6F762572"/>
    <w:rsid w:val="6FE91CAE"/>
    <w:rsid w:val="70FBF16E"/>
    <w:rsid w:val="71BFC81B"/>
    <w:rsid w:val="72DB89CE"/>
    <w:rsid w:val="72F0CA96"/>
    <w:rsid w:val="74389BCD"/>
    <w:rsid w:val="757D5418"/>
    <w:rsid w:val="75FCA08D"/>
    <w:rsid w:val="76D42195"/>
    <w:rsid w:val="76DAE14E"/>
    <w:rsid w:val="78694050"/>
    <w:rsid w:val="794E0369"/>
    <w:rsid w:val="7AA6172C"/>
    <w:rsid w:val="7AE7D555"/>
    <w:rsid w:val="7B823A3B"/>
    <w:rsid w:val="7B8843AC"/>
    <w:rsid w:val="7CB4C66B"/>
    <w:rsid w:val="7D526907"/>
    <w:rsid w:val="7DB050F2"/>
    <w:rsid w:val="7E691483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7E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7E7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77E70"/>
  </w:style>
  <w:style w:type="character" w:styleId="eop" w:customStyle="1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ace.e3alliance.org/family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4.png" Id="R4a618d3dc14d47d4" /><Relationship Type="http://schemas.openxmlformats.org/officeDocument/2006/relationships/image" Target="/media/image2.jpg" Id="Rdbd65100bcff42b5" /><Relationship Type="http://schemas.openxmlformats.org/officeDocument/2006/relationships/hyperlink" Target="https://www.youtube.com/watch?v=O7WEjImrbUg" TargetMode="External" Id="Rca62d676651646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96032-4970-449E-B153-1D2A5CB1A9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Kaci Kai</dc:creator>
  <keywords/>
  <dc:description/>
  <lastModifiedBy>Michelle Beck</lastModifiedBy>
  <revision>76</revision>
  <dcterms:created xsi:type="dcterms:W3CDTF">2020-11-12T21:23:00.0000000Z</dcterms:created>
  <dcterms:modified xsi:type="dcterms:W3CDTF">2021-01-21T21:07:20.7205371Z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